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B1BD" w14:textId="79B70AE5" w:rsidR="00A97414" w:rsidRPr="00A97414" w:rsidRDefault="00A97414" w:rsidP="00A9741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A97414">
        <w:rPr>
          <w:rFonts w:ascii="Times New Roman" w:hAnsi="Times New Roman" w:cs="Times New Roman"/>
          <w:i/>
        </w:rPr>
        <w:t>/Versta iš anglų kalbos/</w:t>
      </w:r>
    </w:p>
    <w:p w14:paraId="72386CE9" w14:textId="77777777" w:rsidR="00A97414" w:rsidRDefault="00A97414" w:rsidP="009900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4EA4A444" w14:textId="77777777" w:rsidR="00B0341C" w:rsidRDefault="00B0341C" w:rsidP="009900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</w:rPr>
        <w:t>Dryback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“ </w:t>
      </w:r>
      <w:r w:rsidR="000641F3">
        <w:rPr>
          <w:rFonts w:ascii="Times New Roman" w:hAnsi="Times New Roman" w:cs="Times New Roman"/>
          <w:b/>
          <w:sz w:val="24"/>
        </w:rPr>
        <w:t>garantija</w:t>
      </w:r>
    </w:p>
    <w:p w14:paraId="1D3EAA02" w14:textId="77777777" w:rsidR="000641F3" w:rsidRDefault="000641F3" w:rsidP="009900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080CD863" w14:textId="531F0CE7" w:rsidR="000641F3" w:rsidRDefault="000641F3" w:rsidP="00D97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Toliau nurodytu garan</w:t>
      </w:r>
      <w:r w:rsidR="00D97260">
        <w:rPr>
          <w:rFonts w:ascii="Times New Roman" w:hAnsi="Times New Roman" w:cs="Times New Roman"/>
          <w:sz w:val="24"/>
        </w:rPr>
        <w:t>tiniu laikotarpiu „</w:t>
      </w:r>
      <w:proofErr w:type="spellStart"/>
      <w:r w:rsidR="00D97260">
        <w:rPr>
          <w:rFonts w:ascii="Times New Roman" w:hAnsi="Times New Roman" w:cs="Times New Roman"/>
          <w:sz w:val="24"/>
        </w:rPr>
        <w:t>mFLOR</w:t>
      </w:r>
      <w:proofErr w:type="spellEnd"/>
      <w:r w:rsidR="00D97260">
        <w:rPr>
          <w:rFonts w:ascii="Times New Roman" w:hAnsi="Times New Roman" w:cs="Times New Roman"/>
          <w:sz w:val="24"/>
        </w:rPr>
        <w:t xml:space="preserve">“ garantuoja, kad jos gaminiai bus be defektų, </w:t>
      </w:r>
      <w:r w:rsidR="00710600">
        <w:rPr>
          <w:rFonts w:ascii="Times New Roman" w:hAnsi="Times New Roman" w:cs="Times New Roman"/>
          <w:sz w:val="24"/>
        </w:rPr>
        <w:t>kuriuos</w:t>
      </w:r>
      <w:r w:rsidR="00D97260">
        <w:rPr>
          <w:rFonts w:ascii="Times New Roman" w:hAnsi="Times New Roman" w:cs="Times New Roman"/>
          <w:sz w:val="24"/>
        </w:rPr>
        <w:t xml:space="preserve"> </w:t>
      </w:r>
      <w:r w:rsidR="00710600">
        <w:rPr>
          <w:rFonts w:ascii="Times New Roman" w:hAnsi="Times New Roman" w:cs="Times New Roman"/>
          <w:sz w:val="24"/>
        </w:rPr>
        <w:t>tiesiogiai lemia</w:t>
      </w:r>
      <w:r w:rsidR="00D97260">
        <w:rPr>
          <w:rFonts w:ascii="Times New Roman" w:hAnsi="Times New Roman" w:cs="Times New Roman"/>
          <w:sz w:val="24"/>
        </w:rPr>
        <w:t xml:space="preserve"> medžiagų ar gamybos trūkum</w:t>
      </w:r>
      <w:r w:rsidR="00710600">
        <w:rPr>
          <w:rFonts w:ascii="Times New Roman" w:hAnsi="Times New Roman" w:cs="Times New Roman"/>
          <w:sz w:val="24"/>
        </w:rPr>
        <w:t>ai</w:t>
      </w:r>
      <w:r w:rsidR="00D97260">
        <w:rPr>
          <w:rFonts w:ascii="Times New Roman" w:hAnsi="Times New Roman" w:cs="Times New Roman"/>
          <w:sz w:val="24"/>
        </w:rPr>
        <w:t>, išskyrus nedidelius spalvos neatitikimus, kurių techniškai neįmanoma išvengti, ir defektus, dėl kurių iš esmės nesumažėja naudingoji vertė.</w:t>
      </w:r>
    </w:p>
    <w:p w14:paraId="5A4DA824" w14:textId="77777777" w:rsidR="00710600" w:rsidRDefault="00710600" w:rsidP="00D97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FD5F048" w14:textId="2E0BC016" w:rsidR="00D97260" w:rsidRDefault="00D97260" w:rsidP="009C4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Jei garantiniu laikotarpiu (žr. toliau pateiktą apžvalgą)</w:t>
      </w:r>
      <w:r w:rsidR="009C4938">
        <w:rPr>
          <w:rFonts w:ascii="Times New Roman" w:hAnsi="Times New Roman" w:cs="Times New Roman"/>
          <w:sz w:val="24"/>
        </w:rPr>
        <w:t xml:space="preserve"> pastebimas neįprastas grindų dangos nusidėvėjimas (</w:t>
      </w:r>
      <w:r w:rsidR="00710600">
        <w:rPr>
          <w:rFonts w:ascii="Times New Roman" w:hAnsi="Times New Roman" w:cs="Times New Roman"/>
          <w:sz w:val="24"/>
        </w:rPr>
        <w:t>jei tik</w:t>
      </w:r>
      <w:r w:rsidR="009C4938">
        <w:rPr>
          <w:rFonts w:ascii="Times New Roman" w:hAnsi="Times New Roman" w:cs="Times New Roman"/>
          <w:sz w:val="24"/>
        </w:rPr>
        <w:t xml:space="preserve"> jomis buvo naudojamasi taip, kaip numatyta), atsiradęs dėl medžiagų ar gamybos trūkumų, „</w:t>
      </w:r>
      <w:proofErr w:type="spellStart"/>
      <w:r w:rsidR="009C4938">
        <w:rPr>
          <w:rFonts w:ascii="Times New Roman" w:hAnsi="Times New Roman" w:cs="Times New Roman"/>
          <w:sz w:val="24"/>
        </w:rPr>
        <w:t>mFLOR</w:t>
      </w:r>
      <w:proofErr w:type="spellEnd"/>
      <w:r w:rsidR="009C4938">
        <w:rPr>
          <w:rFonts w:ascii="Times New Roman" w:hAnsi="Times New Roman" w:cs="Times New Roman"/>
          <w:sz w:val="24"/>
        </w:rPr>
        <w:t xml:space="preserve">“ nemokamai suremontuoja arba pakeičia tą dalį, kurioje atsirado neįprastas nusidėvėjimas. Jei gaminys nebegaminamas, pasiūloma </w:t>
      </w:r>
      <w:r w:rsidR="00710600">
        <w:rPr>
          <w:rFonts w:ascii="Times New Roman" w:hAnsi="Times New Roman" w:cs="Times New Roman"/>
          <w:sz w:val="24"/>
        </w:rPr>
        <w:t xml:space="preserve">praėjusiam laikui proporcinga </w:t>
      </w:r>
      <w:r w:rsidR="009C4938">
        <w:rPr>
          <w:rFonts w:ascii="Times New Roman" w:hAnsi="Times New Roman" w:cs="Times New Roman"/>
          <w:sz w:val="24"/>
        </w:rPr>
        <w:t>kompensacija pagal nustatyto dydžio tarifą, kuri apskaičiuojama tik pagal pradinę grindų dangos vertę ir kuri garantinio laikotarpio pabaigoje yra nulis.</w:t>
      </w:r>
      <w:r w:rsidR="00A24F62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A24F62">
        <w:rPr>
          <w:rFonts w:ascii="Times New Roman" w:hAnsi="Times New Roman" w:cs="Times New Roman"/>
          <w:sz w:val="24"/>
        </w:rPr>
        <w:t>mFLOR</w:t>
      </w:r>
      <w:proofErr w:type="spellEnd"/>
      <w:r w:rsidR="00A24F62">
        <w:rPr>
          <w:rFonts w:ascii="Times New Roman" w:hAnsi="Times New Roman" w:cs="Times New Roman"/>
          <w:sz w:val="24"/>
        </w:rPr>
        <w:t>“</w:t>
      </w:r>
      <w:r w:rsidR="00C40420">
        <w:rPr>
          <w:rFonts w:ascii="Times New Roman" w:hAnsi="Times New Roman" w:cs="Times New Roman"/>
          <w:sz w:val="24"/>
        </w:rPr>
        <w:t xml:space="preserve"> leidžia nedidelius suremontuotos ar pakeistos spalvos skirtumus.</w:t>
      </w:r>
    </w:p>
    <w:p w14:paraId="7D6FDB56" w14:textId="77777777" w:rsidR="00C40420" w:rsidRDefault="00C40420" w:rsidP="009C4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73E62B6" w14:textId="77777777" w:rsidR="00C40420" w:rsidRDefault="00C40420" w:rsidP="009C49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Garantinis laikotarpis</w:t>
      </w:r>
    </w:p>
    <w:p w14:paraId="3F5DAC52" w14:textId="77777777" w:rsidR="00C40420" w:rsidRDefault="00C40420" w:rsidP="009C4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Garantija taikoma toliau nurodytu laikotarpiu nuo pristatymo datos ir galioja tik pirmajam grindų savininkui.</w:t>
      </w:r>
    </w:p>
    <w:p w14:paraId="07A89538" w14:textId="77777777" w:rsidR="00C40420" w:rsidRDefault="00C40420" w:rsidP="009C4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2267"/>
        <w:gridCol w:w="2407"/>
        <w:gridCol w:w="2407"/>
      </w:tblGrid>
      <w:tr w:rsidR="00C40420" w14:paraId="535E1993" w14:textId="77777777" w:rsidTr="00C40420">
        <w:tc>
          <w:tcPr>
            <w:tcW w:w="2547" w:type="dxa"/>
          </w:tcPr>
          <w:p w14:paraId="69712722" w14:textId="77777777" w:rsidR="00C40420" w:rsidRPr="00C40420" w:rsidRDefault="00C40420" w:rsidP="009C49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0420">
              <w:rPr>
                <w:rFonts w:ascii="Times New Roman" w:hAnsi="Times New Roman" w:cs="Times New Roman"/>
                <w:b/>
                <w:sz w:val="24"/>
              </w:rPr>
              <w:t>Garantinis laikotarpis</w:t>
            </w:r>
          </w:p>
          <w:p w14:paraId="34F7407C" w14:textId="77777777" w:rsidR="00C40420" w:rsidRPr="00C40420" w:rsidRDefault="00C40420" w:rsidP="009C49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0420">
              <w:rPr>
                <w:rFonts w:ascii="Times New Roman" w:hAnsi="Times New Roman" w:cs="Times New Roman"/>
                <w:b/>
                <w:sz w:val="24"/>
              </w:rPr>
              <w:t>Serija</w:t>
            </w:r>
          </w:p>
        </w:tc>
        <w:tc>
          <w:tcPr>
            <w:tcW w:w="2267" w:type="dxa"/>
          </w:tcPr>
          <w:p w14:paraId="0C719590" w14:textId="77777777" w:rsidR="00C40420" w:rsidRPr="00C40420" w:rsidRDefault="00C40420" w:rsidP="009C49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0420">
              <w:rPr>
                <w:rFonts w:ascii="Times New Roman" w:hAnsi="Times New Roman" w:cs="Times New Roman"/>
                <w:b/>
                <w:sz w:val="24"/>
              </w:rPr>
              <w:t>Besidėvinčio sluoksnio storis</w:t>
            </w:r>
          </w:p>
        </w:tc>
        <w:tc>
          <w:tcPr>
            <w:tcW w:w="2407" w:type="dxa"/>
          </w:tcPr>
          <w:p w14:paraId="7C8377D8" w14:textId="77777777" w:rsidR="00C40420" w:rsidRPr="00C40420" w:rsidRDefault="00C40420" w:rsidP="009C49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0420">
              <w:rPr>
                <w:rFonts w:ascii="Times New Roman" w:hAnsi="Times New Roman" w:cs="Times New Roman"/>
                <w:b/>
                <w:sz w:val="24"/>
              </w:rPr>
              <w:t>Buitinis naudojimas</w:t>
            </w:r>
          </w:p>
        </w:tc>
        <w:tc>
          <w:tcPr>
            <w:tcW w:w="2407" w:type="dxa"/>
          </w:tcPr>
          <w:p w14:paraId="5A99A50F" w14:textId="77777777" w:rsidR="00C40420" w:rsidRPr="00C40420" w:rsidRDefault="00C40420" w:rsidP="009C493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40420">
              <w:rPr>
                <w:rFonts w:ascii="Times New Roman" w:hAnsi="Times New Roman" w:cs="Times New Roman"/>
                <w:b/>
                <w:sz w:val="24"/>
              </w:rPr>
              <w:t>Komercinis naudojimas</w:t>
            </w:r>
          </w:p>
        </w:tc>
      </w:tr>
      <w:tr w:rsidR="00C40420" w14:paraId="14C3246F" w14:textId="77777777" w:rsidTr="00C40420">
        <w:tc>
          <w:tcPr>
            <w:tcW w:w="2547" w:type="dxa"/>
          </w:tcPr>
          <w:p w14:paraId="5C07F02C" w14:textId="77777777" w:rsidR="00C40420" w:rsidRDefault="00C40420" w:rsidP="009C493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mFLOR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20-03“</w:t>
            </w:r>
          </w:p>
        </w:tc>
        <w:tc>
          <w:tcPr>
            <w:tcW w:w="2267" w:type="dxa"/>
          </w:tcPr>
          <w:p w14:paraId="3795A4AC" w14:textId="77777777" w:rsidR="00C40420" w:rsidRDefault="00C40420" w:rsidP="009C493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0,30 mm</w:t>
            </w:r>
          </w:p>
        </w:tc>
        <w:tc>
          <w:tcPr>
            <w:tcW w:w="2407" w:type="dxa"/>
          </w:tcPr>
          <w:p w14:paraId="02DB286A" w14:textId="77777777" w:rsidR="00C40420" w:rsidRDefault="00C40420" w:rsidP="009C493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metų</w:t>
            </w:r>
          </w:p>
        </w:tc>
        <w:tc>
          <w:tcPr>
            <w:tcW w:w="2407" w:type="dxa"/>
          </w:tcPr>
          <w:p w14:paraId="2CAA1A63" w14:textId="77777777" w:rsidR="00C40420" w:rsidRDefault="00C40420" w:rsidP="009C493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metai</w:t>
            </w:r>
          </w:p>
        </w:tc>
      </w:tr>
      <w:tr w:rsidR="00C40420" w14:paraId="03B6F4BA" w14:textId="77777777" w:rsidTr="00C40420">
        <w:tc>
          <w:tcPr>
            <w:tcW w:w="2547" w:type="dxa"/>
          </w:tcPr>
          <w:p w14:paraId="1D595FFD" w14:textId="77777777" w:rsidR="00C40420" w:rsidRDefault="00C40420" w:rsidP="00C4042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mFLOR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25-05“</w:t>
            </w:r>
          </w:p>
        </w:tc>
        <w:tc>
          <w:tcPr>
            <w:tcW w:w="2267" w:type="dxa"/>
          </w:tcPr>
          <w:p w14:paraId="08C42017" w14:textId="77777777" w:rsidR="00C40420" w:rsidRDefault="00C40420" w:rsidP="00C4042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0,55 mm</w:t>
            </w:r>
          </w:p>
        </w:tc>
        <w:tc>
          <w:tcPr>
            <w:tcW w:w="2407" w:type="dxa"/>
          </w:tcPr>
          <w:p w14:paraId="670FC827" w14:textId="77777777" w:rsidR="00C40420" w:rsidRDefault="00C40420" w:rsidP="00C4042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metų</w:t>
            </w:r>
          </w:p>
        </w:tc>
        <w:tc>
          <w:tcPr>
            <w:tcW w:w="2407" w:type="dxa"/>
          </w:tcPr>
          <w:p w14:paraId="637E6A0A" w14:textId="77777777" w:rsidR="00C40420" w:rsidRDefault="00C40420" w:rsidP="00C4042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metų</w:t>
            </w:r>
          </w:p>
        </w:tc>
      </w:tr>
    </w:tbl>
    <w:p w14:paraId="1CD7370C" w14:textId="77777777" w:rsidR="00C40420" w:rsidRDefault="00C40420" w:rsidP="009C4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7679909" w14:textId="77777777" w:rsidR="00C40420" w:rsidRDefault="00C40420" w:rsidP="009C4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Į nusiskundimus dėl susitraukimo atsižvelgiama, tik jei susitraukimas neatitinka standartų, nustatytų ISO 23999 ir ISO 10582:2017.</w:t>
      </w:r>
    </w:p>
    <w:p w14:paraId="2C66A14C" w14:textId="77777777" w:rsidR="00C40420" w:rsidRDefault="00C40420" w:rsidP="009C4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846AED5" w14:textId="77777777" w:rsidR="00C40420" w:rsidRDefault="00C40420" w:rsidP="009C49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Mes suteikiame pirmiau minimą garantiją toliau išdėstytomis sąlygomis.</w:t>
      </w:r>
    </w:p>
    <w:p w14:paraId="4AAE137F" w14:textId="77777777" w:rsidR="00C40420" w:rsidRDefault="00C40420" w:rsidP="009C49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32EBB31" w14:textId="77777777" w:rsidR="00C40420" w:rsidRDefault="00C40420" w:rsidP="00C40420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Garantija suteikiama, tik jei grindys buvo sumontuotos profesionaliai, laikantis „</w:t>
      </w:r>
      <w:proofErr w:type="spellStart"/>
      <w:r>
        <w:rPr>
          <w:rFonts w:ascii="Times New Roman" w:hAnsi="Times New Roman" w:cs="Times New Roman"/>
          <w:sz w:val="24"/>
        </w:rPr>
        <w:t>mFLOR</w:t>
      </w:r>
      <w:proofErr w:type="spellEnd"/>
      <w:r>
        <w:rPr>
          <w:rFonts w:ascii="Times New Roman" w:hAnsi="Times New Roman" w:cs="Times New Roman"/>
          <w:sz w:val="24"/>
        </w:rPr>
        <w:t>“ montavimo instrukcijų.</w:t>
      </w:r>
    </w:p>
    <w:p w14:paraId="02D0084B" w14:textId="13D4C7CA" w:rsidR="00C40420" w:rsidRDefault="00C40420" w:rsidP="00C40420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Tinkamas plokščios grindų dangos pasirinkimas </w:t>
      </w:r>
      <w:r w:rsidR="00671112">
        <w:rPr>
          <w:rFonts w:ascii="Times New Roman" w:hAnsi="Times New Roman" w:cs="Times New Roman"/>
          <w:sz w:val="24"/>
        </w:rPr>
        <w:t xml:space="preserve">atsižvelgiant į </w:t>
      </w:r>
      <w:r>
        <w:rPr>
          <w:rFonts w:ascii="Times New Roman" w:hAnsi="Times New Roman" w:cs="Times New Roman"/>
          <w:sz w:val="24"/>
        </w:rPr>
        <w:t>naudojimo sąlygas. Garantija</w:t>
      </w:r>
      <w:r w:rsidR="00C77611">
        <w:rPr>
          <w:rFonts w:ascii="Times New Roman" w:hAnsi="Times New Roman" w:cs="Times New Roman"/>
          <w:sz w:val="24"/>
        </w:rPr>
        <w:t xml:space="preserve"> panaikinama, jei žala atsirado dėl normalaus dėvėjimosi arba netinkamo tvarkymo, kuris, be kita ko, reiškia: neatsargų ar netinkamą naudojimąsi grindimis, netinkamą arba neteisingą priežiūrą, žalą, daikto modifikavimą ar remontą, atliktą trečiųjų asmenų</w:t>
      </w:r>
      <w:r w:rsidR="00671112">
        <w:rPr>
          <w:rFonts w:ascii="Times New Roman" w:hAnsi="Times New Roman" w:cs="Times New Roman"/>
          <w:sz w:val="24"/>
        </w:rPr>
        <w:t>,</w:t>
      </w:r>
      <w:r w:rsidR="00C77611">
        <w:rPr>
          <w:rFonts w:ascii="Times New Roman" w:hAnsi="Times New Roman" w:cs="Times New Roman"/>
          <w:sz w:val="24"/>
        </w:rPr>
        <w:t xml:space="preserve"> be išankstinio „</w:t>
      </w:r>
      <w:proofErr w:type="spellStart"/>
      <w:r w:rsidR="00C77611">
        <w:rPr>
          <w:rFonts w:ascii="Times New Roman" w:hAnsi="Times New Roman" w:cs="Times New Roman"/>
          <w:sz w:val="24"/>
        </w:rPr>
        <w:t>mFLOR</w:t>
      </w:r>
      <w:proofErr w:type="spellEnd"/>
      <w:r w:rsidR="00C77611">
        <w:rPr>
          <w:rFonts w:ascii="Times New Roman" w:hAnsi="Times New Roman" w:cs="Times New Roman"/>
          <w:sz w:val="24"/>
        </w:rPr>
        <w:t>“ sutikimo.</w:t>
      </w:r>
    </w:p>
    <w:p w14:paraId="01DACF49" w14:textId="77777777" w:rsidR="00C77611" w:rsidRDefault="00C77611" w:rsidP="00C40420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Grindų dangos montavimas ant jai tinkamo pagrindo; visapusiškas priklijavimas tinkamais, neįgaliųjų vežimėliams atspariais klijais pagal rekomendaciją ir sumontavimas laikantis klijų tiekėjo instrukcijų. Nenaudojami rutuliniai arba tvirtinimo klijai.</w:t>
      </w:r>
    </w:p>
    <w:p w14:paraId="424ED32D" w14:textId="77777777" w:rsidR="00C77611" w:rsidRDefault="00525A6D" w:rsidP="00C40420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Specialistai atlieka grindų dangos priežiūrą ir valymą pagal „</w:t>
      </w:r>
      <w:proofErr w:type="spellStart"/>
      <w:r>
        <w:rPr>
          <w:rFonts w:ascii="Times New Roman" w:hAnsi="Times New Roman" w:cs="Times New Roman"/>
          <w:sz w:val="24"/>
        </w:rPr>
        <w:t>mFLOR</w:t>
      </w:r>
      <w:proofErr w:type="spellEnd"/>
      <w:r>
        <w:rPr>
          <w:rFonts w:ascii="Times New Roman" w:hAnsi="Times New Roman" w:cs="Times New Roman"/>
          <w:sz w:val="24"/>
        </w:rPr>
        <w:t>“ instrukcijas.</w:t>
      </w:r>
    </w:p>
    <w:p w14:paraId="650843E7" w14:textId="77777777" w:rsidR="00525A6D" w:rsidRDefault="00525A6D" w:rsidP="00C40420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Neviršijama 50 kg/cm</w:t>
      </w:r>
      <w:r w:rsidRPr="00525A6D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dinaminė apkrova.</w:t>
      </w:r>
    </w:p>
    <w:p w14:paraId="0921CFF6" w14:textId="75D73995" w:rsidR="00CA4A0B" w:rsidRDefault="00525A6D" w:rsidP="00C40420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30043A">
        <w:rPr>
          <w:rFonts w:ascii="Times New Roman" w:hAnsi="Times New Roman" w:cs="Times New Roman"/>
          <w:sz w:val="24"/>
        </w:rPr>
        <w:t>egalima n</w:t>
      </w:r>
      <w:r>
        <w:rPr>
          <w:rFonts w:ascii="Times New Roman" w:hAnsi="Times New Roman" w:cs="Times New Roman"/>
          <w:sz w:val="24"/>
        </w:rPr>
        <w:t>audo</w:t>
      </w:r>
      <w:r w:rsidR="0030043A">
        <w:rPr>
          <w:rFonts w:ascii="Times New Roman" w:hAnsi="Times New Roman" w:cs="Times New Roman"/>
          <w:sz w:val="24"/>
        </w:rPr>
        <w:t>ti</w:t>
      </w:r>
      <w:r>
        <w:rPr>
          <w:rFonts w:ascii="Times New Roman" w:hAnsi="Times New Roman" w:cs="Times New Roman"/>
          <w:sz w:val="24"/>
        </w:rPr>
        <w:t xml:space="preserve"> biuro kėd</w:t>
      </w:r>
      <w:r w:rsidR="0030043A">
        <w:rPr>
          <w:rFonts w:ascii="Times New Roman" w:hAnsi="Times New Roman" w:cs="Times New Roman"/>
          <w:sz w:val="24"/>
        </w:rPr>
        <w:t>žių, išskyrus</w:t>
      </w:r>
      <w:r w:rsidR="0030043A" w:rsidRPr="0030043A">
        <w:rPr>
          <w:rFonts w:ascii="Times New Roman" w:hAnsi="Times New Roman" w:cs="Times New Roman"/>
          <w:sz w:val="24"/>
        </w:rPr>
        <w:t xml:space="preserve"> </w:t>
      </w:r>
      <w:r w:rsidR="0030043A">
        <w:rPr>
          <w:rFonts w:ascii="Times New Roman" w:hAnsi="Times New Roman" w:cs="Times New Roman"/>
          <w:sz w:val="24"/>
        </w:rPr>
        <w:t>tokias</w:t>
      </w:r>
      <w:r>
        <w:rPr>
          <w:rFonts w:ascii="Times New Roman" w:hAnsi="Times New Roman" w:cs="Times New Roman"/>
          <w:sz w:val="24"/>
        </w:rPr>
        <w:t xml:space="preserve">, kurių ratukai yra bent 50 mm skersmens, o </w:t>
      </w:r>
      <w:r w:rsidR="007B6E5F">
        <w:rPr>
          <w:rFonts w:ascii="Times New Roman" w:hAnsi="Times New Roman" w:cs="Times New Roman"/>
          <w:sz w:val="24"/>
        </w:rPr>
        <w:t xml:space="preserve">apsauginio </w:t>
      </w:r>
      <w:r>
        <w:rPr>
          <w:rFonts w:ascii="Times New Roman" w:hAnsi="Times New Roman" w:cs="Times New Roman"/>
          <w:sz w:val="24"/>
        </w:rPr>
        <w:t xml:space="preserve">paviršiaus plotis </w:t>
      </w:r>
      <w:r w:rsidR="00CA4A0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20</w:t>
      </w:r>
      <w:r w:rsidR="00CA4A0B">
        <w:rPr>
          <w:rFonts w:ascii="Times New Roman" w:hAnsi="Times New Roman" w:cs="Times New Roman"/>
          <w:sz w:val="24"/>
        </w:rPr>
        <w:t xml:space="preserve"> mm, pagamint</w:t>
      </w:r>
      <w:r w:rsidR="007B6E5F">
        <w:rPr>
          <w:rFonts w:ascii="Times New Roman" w:hAnsi="Times New Roman" w:cs="Times New Roman"/>
          <w:sz w:val="24"/>
        </w:rPr>
        <w:t>a</w:t>
      </w:r>
      <w:r w:rsidR="00CA4A0B">
        <w:rPr>
          <w:rFonts w:ascii="Times New Roman" w:hAnsi="Times New Roman" w:cs="Times New Roman"/>
          <w:sz w:val="24"/>
        </w:rPr>
        <w:t>s iš kieto besiūlio plastiko pagal DIN 68131 ir (arba) EN 425.</w:t>
      </w:r>
    </w:p>
    <w:p w14:paraId="7133B814" w14:textId="7BB46492" w:rsidR="00525A6D" w:rsidRDefault="00CA4A0B" w:rsidP="00C40420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mFLOR</w:t>
      </w:r>
      <w:proofErr w:type="spellEnd"/>
      <w:r>
        <w:rPr>
          <w:rFonts w:ascii="Times New Roman" w:hAnsi="Times New Roman" w:cs="Times New Roman"/>
          <w:sz w:val="24"/>
        </w:rPr>
        <w:t>“ leidžiama patikrinti plokščią grindų dangą</w:t>
      </w:r>
      <w:r w:rsidR="00525A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ir jos techninę būklę bei valymą darbo valando</w:t>
      </w:r>
      <w:r w:rsidR="006336B1">
        <w:rPr>
          <w:rFonts w:ascii="Times New Roman" w:hAnsi="Times New Roman" w:cs="Times New Roman"/>
          <w:sz w:val="24"/>
        </w:rPr>
        <w:t>mi</w:t>
      </w:r>
      <w:r>
        <w:rPr>
          <w:rFonts w:ascii="Times New Roman" w:hAnsi="Times New Roman" w:cs="Times New Roman"/>
          <w:sz w:val="24"/>
        </w:rPr>
        <w:t>s.</w:t>
      </w:r>
    </w:p>
    <w:p w14:paraId="6829BB71" w14:textId="7DD167D5" w:rsidR="00CA4A0B" w:rsidRDefault="00CA4A0B" w:rsidP="00CA4A0B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mFLOR</w:t>
      </w:r>
      <w:proofErr w:type="spellEnd"/>
      <w:r>
        <w:rPr>
          <w:rFonts w:ascii="Times New Roman" w:hAnsi="Times New Roman" w:cs="Times New Roman"/>
          <w:sz w:val="24"/>
        </w:rPr>
        <w:t>“ nėra atsakinga už žalą, padarytą plokščioms grindims dėl deginimo, tempimo, nuplik</w:t>
      </w:r>
      <w:r w:rsidR="006336B1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mo arba sąlyčio su cheminėmis medžiagomis, pvz., valikliais.</w:t>
      </w:r>
    </w:p>
    <w:p w14:paraId="2408D8B6" w14:textId="65896318" w:rsidR="00CA4A0B" w:rsidRDefault="00CA4A0B" w:rsidP="00CA4A0B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 kokia teisė teikti pretenzijas „</w:t>
      </w:r>
      <w:proofErr w:type="spellStart"/>
      <w:r>
        <w:rPr>
          <w:rFonts w:ascii="Times New Roman" w:hAnsi="Times New Roman" w:cs="Times New Roman"/>
          <w:sz w:val="24"/>
        </w:rPr>
        <w:t>mFLOR</w:t>
      </w:r>
      <w:proofErr w:type="spellEnd"/>
      <w:r>
        <w:rPr>
          <w:rFonts w:ascii="Times New Roman" w:hAnsi="Times New Roman" w:cs="Times New Roman"/>
          <w:sz w:val="24"/>
        </w:rPr>
        <w:t>“ nustoja galioti praėjus vieniems metams po žalos ar defektų aptikimo, jei per šį laikotarpį nebuvo pradėti teisiniai procesiniai veiksmai „</w:t>
      </w:r>
      <w:proofErr w:type="spellStart"/>
      <w:r>
        <w:rPr>
          <w:rFonts w:ascii="Times New Roman" w:hAnsi="Times New Roman" w:cs="Times New Roman"/>
          <w:sz w:val="24"/>
        </w:rPr>
        <w:t>mFLOR</w:t>
      </w:r>
      <w:proofErr w:type="spellEnd"/>
      <w:r>
        <w:rPr>
          <w:rFonts w:ascii="Times New Roman" w:hAnsi="Times New Roman" w:cs="Times New Roman"/>
          <w:sz w:val="24"/>
        </w:rPr>
        <w:t>“ atžvilgiu.</w:t>
      </w:r>
    </w:p>
    <w:p w14:paraId="026E7EDC" w14:textId="77777777" w:rsidR="00CA4A0B" w:rsidRDefault="00CA4A0B" w:rsidP="00CA4A0B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Garantija taikoma tik grindų remontui ir pakeitimui. Daugiau atsakomybės neprisiimama, jei tai leidžia įstatymai. Todėl „</w:t>
      </w:r>
      <w:proofErr w:type="spellStart"/>
      <w:r>
        <w:rPr>
          <w:rFonts w:ascii="Times New Roman" w:hAnsi="Times New Roman" w:cs="Times New Roman"/>
          <w:sz w:val="24"/>
        </w:rPr>
        <w:t>mFLOR</w:t>
      </w:r>
      <w:proofErr w:type="spellEnd"/>
      <w:r>
        <w:rPr>
          <w:rFonts w:ascii="Times New Roman" w:hAnsi="Times New Roman" w:cs="Times New Roman"/>
          <w:sz w:val="24"/>
        </w:rPr>
        <w:t xml:space="preserve">“ nėra niekaip atsakinga už jokią </w:t>
      </w:r>
      <w:proofErr w:type="spellStart"/>
      <w:r>
        <w:rPr>
          <w:rFonts w:ascii="Times New Roman" w:hAnsi="Times New Roman" w:cs="Times New Roman"/>
          <w:sz w:val="24"/>
        </w:rPr>
        <w:t>pasekminę</w:t>
      </w:r>
      <w:proofErr w:type="spellEnd"/>
      <w:r>
        <w:rPr>
          <w:rFonts w:ascii="Times New Roman" w:hAnsi="Times New Roman" w:cs="Times New Roman"/>
          <w:sz w:val="24"/>
        </w:rPr>
        <w:t xml:space="preserve"> žalą, pvz.,</w:t>
      </w:r>
      <w:r w:rsidR="00190E15">
        <w:rPr>
          <w:rFonts w:ascii="Times New Roman" w:hAnsi="Times New Roman" w:cs="Times New Roman"/>
          <w:sz w:val="24"/>
        </w:rPr>
        <w:t xml:space="preserve"> veiklos pertraukimą, šalinimo išlaidas, pelno netekimą ir t. t.</w:t>
      </w:r>
    </w:p>
    <w:p w14:paraId="64056EFF" w14:textId="77777777" w:rsidR="00190E15" w:rsidRDefault="00190E15" w:rsidP="00190E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802BDE" w14:textId="77777777" w:rsidR="00190E15" w:rsidRDefault="00190E15" w:rsidP="00190E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 ginčai perduodami registruotam ekspertui arba įgaliotam teisėjui.</w:t>
      </w:r>
    </w:p>
    <w:p w14:paraId="331FBE76" w14:textId="77777777" w:rsidR="00190E15" w:rsidRDefault="00190E15" w:rsidP="00190E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DA9466" w14:textId="77777777" w:rsidR="00190E15" w:rsidRDefault="00190E15" w:rsidP="00190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Grindų kilimėliai</w:t>
      </w:r>
    </w:p>
    <w:p w14:paraId="537BFD99" w14:textId="79A47A27" w:rsidR="00190E15" w:rsidRDefault="00C30B5E" w:rsidP="00190E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Tam, k</w:t>
      </w:r>
      <w:r w:rsidR="00190E15">
        <w:rPr>
          <w:rFonts w:ascii="Times New Roman" w:hAnsi="Times New Roman" w:cs="Times New Roman"/>
          <w:sz w:val="24"/>
        </w:rPr>
        <w:t>ad apsaugotumėte savo „</w:t>
      </w:r>
      <w:proofErr w:type="spellStart"/>
      <w:r w:rsidR="00190E15">
        <w:rPr>
          <w:rFonts w:ascii="Times New Roman" w:hAnsi="Times New Roman" w:cs="Times New Roman"/>
          <w:sz w:val="24"/>
        </w:rPr>
        <w:t>mFLOR</w:t>
      </w:r>
      <w:proofErr w:type="spellEnd"/>
      <w:r w:rsidR="00190E15">
        <w:rPr>
          <w:rFonts w:ascii="Times New Roman" w:hAnsi="Times New Roman" w:cs="Times New Roman"/>
          <w:sz w:val="24"/>
        </w:rPr>
        <w:t>“ grindis, rekomenduojame naudoti gerą grindų kilimėlį (dar vadinamą „įėjimo kilimėliu“ arba „</w:t>
      </w:r>
      <w:r>
        <w:rPr>
          <w:rFonts w:ascii="Times New Roman" w:hAnsi="Times New Roman" w:cs="Times New Roman"/>
          <w:sz w:val="24"/>
        </w:rPr>
        <w:t xml:space="preserve">durų </w:t>
      </w:r>
      <w:r w:rsidR="00190E15">
        <w:rPr>
          <w:rFonts w:ascii="Times New Roman" w:hAnsi="Times New Roman" w:cs="Times New Roman"/>
          <w:sz w:val="24"/>
        </w:rPr>
        <w:t xml:space="preserve">kilimėliu“), neleidžiantį patekti nešvarumams ir drėgmei. </w:t>
      </w:r>
      <w:r>
        <w:rPr>
          <w:rFonts w:ascii="Times New Roman" w:hAnsi="Times New Roman" w:cs="Times New Roman"/>
          <w:sz w:val="24"/>
        </w:rPr>
        <w:t>R</w:t>
      </w:r>
      <w:r w:rsidR="00190E15">
        <w:rPr>
          <w:rFonts w:ascii="Times New Roman" w:hAnsi="Times New Roman" w:cs="Times New Roman"/>
          <w:sz w:val="24"/>
        </w:rPr>
        <w:t xml:space="preserve">inkitės kokybišką kilimėlį, kurio sudėtyje nėra </w:t>
      </w:r>
      <w:proofErr w:type="spellStart"/>
      <w:r w:rsidR="00190E15">
        <w:rPr>
          <w:rFonts w:ascii="Times New Roman" w:hAnsi="Times New Roman" w:cs="Times New Roman"/>
          <w:sz w:val="24"/>
        </w:rPr>
        <w:t>minkštiklio</w:t>
      </w:r>
      <w:proofErr w:type="spellEnd"/>
      <w:r w:rsidR="00190E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0E15">
        <w:rPr>
          <w:rFonts w:ascii="Times New Roman" w:hAnsi="Times New Roman" w:cs="Times New Roman"/>
          <w:sz w:val="24"/>
        </w:rPr>
        <w:t>oktilo</w:t>
      </w:r>
      <w:proofErr w:type="spellEnd"/>
      <w:r w:rsidR="00190E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0E15">
        <w:rPr>
          <w:rFonts w:ascii="Times New Roman" w:hAnsi="Times New Roman" w:cs="Times New Roman"/>
          <w:sz w:val="24"/>
        </w:rPr>
        <w:t>benzoato</w:t>
      </w:r>
      <w:proofErr w:type="spellEnd"/>
      <w:r w:rsidR="00190E15">
        <w:rPr>
          <w:rFonts w:ascii="Times New Roman" w:hAnsi="Times New Roman" w:cs="Times New Roman"/>
          <w:sz w:val="24"/>
        </w:rPr>
        <w:t xml:space="preserve">. Dėl to minkštiklio gali susidaryti burbuliukai ir (arba) atsisluoksniuoti viršutinis grindų sluoksnis. Dėl saugumo rekomenduojame ne laisvai kloti grindų kilimėlius ant grindų, o grindyse padaryti </w:t>
      </w:r>
      <w:r w:rsidR="007B6E5F" w:rsidRPr="006B6ACA">
        <w:rPr>
          <w:rFonts w:ascii="Times New Roman" w:hAnsi="Times New Roman" w:cs="Times New Roman"/>
          <w:sz w:val="24"/>
        </w:rPr>
        <w:t>į</w:t>
      </w:r>
      <w:r w:rsidR="007B6E5F">
        <w:rPr>
          <w:rFonts w:ascii="Times New Roman" w:hAnsi="Times New Roman" w:cs="Times New Roman"/>
          <w:sz w:val="24"/>
        </w:rPr>
        <w:t>pjov</w:t>
      </w:r>
      <w:r w:rsidR="007B6E5F" w:rsidRPr="006B6ACA">
        <w:rPr>
          <w:rFonts w:ascii="Times New Roman" w:hAnsi="Times New Roman" w:cs="Times New Roman"/>
          <w:sz w:val="24"/>
        </w:rPr>
        <w:t>ą</w:t>
      </w:r>
      <w:r w:rsidR="00190E15">
        <w:rPr>
          <w:rFonts w:ascii="Times New Roman" w:hAnsi="Times New Roman" w:cs="Times New Roman"/>
          <w:sz w:val="24"/>
        </w:rPr>
        <w:t>.</w:t>
      </w:r>
    </w:p>
    <w:p w14:paraId="56BCA9AD" w14:textId="77777777" w:rsidR="00190E15" w:rsidRDefault="00190E15" w:rsidP="00190E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C63C8C" w14:textId="77777777" w:rsidR="00190E15" w:rsidRDefault="00190E15" w:rsidP="00190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Neleis</w:t>
      </w:r>
      <w:r w:rsidRPr="006750B5">
        <w:rPr>
          <w:rFonts w:ascii="Times New Roman" w:hAnsi="Times New Roman" w:cs="Times New Roman"/>
          <w:b/>
          <w:sz w:val="24"/>
        </w:rPr>
        <w:t>kite pakei</w:t>
      </w:r>
      <w:r>
        <w:rPr>
          <w:rFonts w:ascii="Times New Roman" w:hAnsi="Times New Roman" w:cs="Times New Roman"/>
          <w:b/>
          <w:sz w:val="24"/>
        </w:rPr>
        <w:t>s</w:t>
      </w:r>
      <w:r w:rsidRPr="006750B5">
        <w:rPr>
          <w:rFonts w:ascii="Times New Roman" w:hAnsi="Times New Roman" w:cs="Times New Roman"/>
          <w:b/>
          <w:sz w:val="24"/>
        </w:rPr>
        <w:t>ti spalvos</w:t>
      </w:r>
    </w:p>
    <w:p w14:paraId="360D9383" w14:textId="10BC2A4A" w:rsidR="00A97414" w:rsidRDefault="00190E15" w:rsidP="00190E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Visų tipų grindų danga (mediena, LVT ar kilimas) veikiama </w:t>
      </w:r>
      <w:r w:rsidR="00845E1E">
        <w:rPr>
          <w:rFonts w:ascii="Times New Roman" w:hAnsi="Times New Roman" w:cs="Times New Roman"/>
          <w:sz w:val="24"/>
        </w:rPr>
        <w:t>natūralios šviesos</w:t>
      </w:r>
      <w:r>
        <w:rPr>
          <w:rFonts w:ascii="Times New Roman" w:hAnsi="Times New Roman" w:cs="Times New Roman"/>
          <w:sz w:val="24"/>
        </w:rPr>
        <w:t xml:space="preserve"> keičia spalvą. Taip yra dėl </w:t>
      </w:r>
      <w:r w:rsidR="00845E1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saulės</w:t>
      </w:r>
      <w:r w:rsidR="00845E1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šviesoje esančių ultravioletinių spindulių. </w:t>
      </w:r>
      <w:r w:rsidR="00C30B5E">
        <w:rPr>
          <w:rFonts w:ascii="Times New Roman" w:hAnsi="Times New Roman" w:cs="Times New Roman"/>
          <w:sz w:val="24"/>
        </w:rPr>
        <w:t>Tam, k</w:t>
      </w:r>
      <w:r w:rsidR="00845E1E">
        <w:rPr>
          <w:rFonts w:ascii="Times New Roman" w:hAnsi="Times New Roman" w:cs="Times New Roman"/>
          <w:sz w:val="24"/>
        </w:rPr>
        <w:t>ad grindys kuo mažiau pakeistų spalvą, būtina e</w:t>
      </w:r>
      <w:r>
        <w:rPr>
          <w:rFonts w:ascii="Times New Roman" w:hAnsi="Times New Roman" w:cs="Times New Roman"/>
          <w:sz w:val="24"/>
        </w:rPr>
        <w:t>fektyvi uždanga nuo saulės.</w:t>
      </w:r>
    </w:p>
    <w:p w14:paraId="2F5FF65B" w14:textId="77777777" w:rsidR="00A97414" w:rsidRPr="00A97414" w:rsidRDefault="00A97414" w:rsidP="00A97414">
      <w:pPr>
        <w:rPr>
          <w:rFonts w:ascii="Times New Roman" w:hAnsi="Times New Roman" w:cs="Times New Roman"/>
          <w:sz w:val="24"/>
        </w:rPr>
      </w:pPr>
    </w:p>
    <w:p w14:paraId="72F3ABDA" w14:textId="77777777" w:rsidR="00A97414" w:rsidRPr="00A97414" w:rsidRDefault="00A97414" w:rsidP="00A97414">
      <w:pPr>
        <w:rPr>
          <w:rFonts w:ascii="Times New Roman" w:hAnsi="Times New Roman" w:cs="Times New Roman"/>
          <w:sz w:val="24"/>
        </w:rPr>
      </w:pPr>
    </w:p>
    <w:p w14:paraId="7A1365ED" w14:textId="77777777" w:rsidR="00A97414" w:rsidRPr="00A97414" w:rsidRDefault="00A97414" w:rsidP="00A97414">
      <w:pPr>
        <w:rPr>
          <w:rFonts w:ascii="Times New Roman" w:hAnsi="Times New Roman" w:cs="Times New Roman"/>
          <w:sz w:val="24"/>
        </w:rPr>
      </w:pPr>
    </w:p>
    <w:p w14:paraId="3141A901" w14:textId="77777777" w:rsidR="00A97414" w:rsidRPr="00A97414" w:rsidRDefault="00A97414" w:rsidP="00A97414">
      <w:pPr>
        <w:rPr>
          <w:rFonts w:ascii="Times New Roman" w:hAnsi="Times New Roman" w:cs="Times New Roman"/>
          <w:sz w:val="24"/>
        </w:rPr>
      </w:pPr>
    </w:p>
    <w:p w14:paraId="192BF88F" w14:textId="77777777" w:rsidR="00A97414" w:rsidRPr="00A97414" w:rsidRDefault="00A97414" w:rsidP="00A97414">
      <w:pPr>
        <w:rPr>
          <w:rFonts w:ascii="Times New Roman" w:hAnsi="Times New Roman" w:cs="Times New Roman"/>
          <w:sz w:val="24"/>
        </w:rPr>
      </w:pPr>
    </w:p>
    <w:p w14:paraId="49B63461" w14:textId="77777777" w:rsidR="00A97414" w:rsidRPr="00A97414" w:rsidRDefault="00A97414" w:rsidP="00A97414">
      <w:pPr>
        <w:rPr>
          <w:rFonts w:ascii="Times New Roman" w:hAnsi="Times New Roman" w:cs="Times New Roman"/>
          <w:sz w:val="24"/>
        </w:rPr>
      </w:pPr>
    </w:p>
    <w:p w14:paraId="37A89F19" w14:textId="77777777" w:rsidR="00A97414" w:rsidRPr="00A97414" w:rsidRDefault="00A97414" w:rsidP="00A97414">
      <w:pPr>
        <w:rPr>
          <w:rFonts w:ascii="Times New Roman" w:hAnsi="Times New Roman" w:cs="Times New Roman"/>
          <w:sz w:val="24"/>
        </w:rPr>
      </w:pPr>
    </w:p>
    <w:p w14:paraId="38C2FC14" w14:textId="77777777" w:rsidR="00A97414" w:rsidRPr="00A97414" w:rsidRDefault="00A97414" w:rsidP="00A97414">
      <w:pPr>
        <w:rPr>
          <w:rFonts w:ascii="Times New Roman" w:hAnsi="Times New Roman" w:cs="Times New Roman"/>
          <w:sz w:val="24"/>
        </w:rPr>
      </w:pPr>
    </w:p>
    <w:p w14:paraId="537D0ADC" w14:textId="77777777" w:rsidR="00A97414" w:rsidRPr="00A97414" w:rsidRDefault="00A97414" w:rsidP="00A97414">
      <w:pPr>
        <w:rPr>
          <w:rFonts w:ascii="Times New Roman" w:hAnsi="Times New Roman" w:cs="Times New Roman"/>
          <w:sz w:val="24"/>
        </w:rPr>
      </w:pPr>
    </w:p>
    <w:p w14:paraId="1B4712CF" w14:textId="77777777" w:rsidR="00A97414" w:rsidRPr="00A97414" w:rsidRDefault="00A97414" w:rsidP="00A97414">
      <w:pPr>
        <w:rPr>
          <w:rFonts w:ascii="Times New Roman" w:hAnsi="Times New Roman" w:cs="Times New Roman"/>
          <w:sz w:val="24"/>
        </w:rPr>
      </w:pPr>
    </w:p>
    <w:p w14:paraId="48CBB461" w14:textId="77777777" w:rsidR="00A97414" w:rsidRPr="00A97414" w:rsidRDefault="00A97414" w:rsidP="00A97414">
      <w:pPr>
        <w:rPr>
          <w:rFonts w:ascii="Times New Roman" w:hAnsi="Times New Roman" w:cs="Times New Roman"/>
          <w:sz w:val="24"/>
        </w:rPr>
      </w:pPr>
    </w:p>
    <w:p w14:paraId="5FB3B777" w14:textId="77777777" w:rsidR="00A97414" w:rsidRDefault="00A97414" w:rsidP="00A97414">
      <w:pPr>
        <w:rPr>
          <w:rFonts w:ascii="Times New Roman" w:hAnsi="Times New Roman" w:cs="Times New Roman"/>
          <w:sz w:val="24"/>
        </w:rPr>
      </w:pPr>
    </w:p>
    <w:p w14:paraId="7E29F4E4" w14:textId="77777777" w:rsidR="00A97414" w:rsidRDefault="00A97414" w:rsidP="00A97414">
      <w:pPr>
        <w:rPr>
          <w:rFonts w:ascii="Times New Roman" w:hAnsi="Times New Roman" w:cs="Times New Roman"/>
          <w:sz w:val="24"/>
        </w:rPr>
      </w:pPr>
    </w:p>
    <w:p w14:paraId="2AA4B8DA" w14:textId="77777777" w:rsidR="00A97414" w:rsidRDefault="00A97414" w:rsidP="00A97414">
      <w:pPr>
        <w:rPr>
          <w:rFonts w:ascii="Times New Roman" w:hAnsi="Times New Roman" w:cs="Times New Roman"/>
          <w:sz w:val="24"/>
        </w:rPr>
      </w:pPr>
    </w:p>
    <w:p w14:paraId="0C545DF0" w14:textId="77777777" w:rsidR="00A97414" w:rsidRDefault="00A97414" w:rsidP="00A97414">
      <w:pPr>
        <w:rPr>
          <w:rFonts w:ascii="Times New Roman" w:hAnsi="Times New Roman" w:cs="Times New Roman"/>
          <w:sz w:val="24"/>
        </w:rPr>
      </w:pPr>
    </w:p>
    <w:p w14:paraId="1BA47264" w14:textId="77777777" w:rsidR="00A97414" w:rsidRDefault="00A97414" w:rsidP="00A97414">
      <w:pPr>
        <w:rPr>
          <w:rFonts w:ascii="Times New Roman" w:hAnsi="Times New Roman" w:cs="Times New Roman"/>
          <w:sz w:val="24"/>
        </w:rPr>
      </w:pPr>
    </w:p>
    <w:p w14:paraId="0EC534A2" w14:textId="77777777" w:rsidR="00A97414" w:rsidRPr="00A97414" w:rsidRDefault="00A97414" w:rsidP="00A97414">
      <w:pPr>
        <w:rPr>
          <w:rFonts w:ascii="Times New Roman" w:hAnsi="Times New Roman" w:cs="Times New Roman"/>
          <w:sz w:val="24"/>
        </w:rPr>
      </w:pPr>
    </w:p>
    <w:p w14:paraId="6264182B" w14:textId="77777777" w:rsidR="00A97414" w:rsidRPr="00A97414" w:rsidRDefault="00A97414" w:rsidP="00A97414">
      <w:pPr>
        <w:rPr>
          <w:rFonts w:ascii="Times New Roman" w:hAnsi="Times New Roman" w:cs="Times New Roman"/>
          <w:sz w:val="24"/>
        </w:rPr>
      </w:pPr>
    </w:p>
    <w:p w14:paraId="1DAF2011" w14:textId="35002015" w:rsidR="00A97414" w:rsidRDefault="00A97414" w:rsidP="00A97414">
      <w:pPr>
        <w:rPr>
          <w:rFonts w:ascii="Times New Roman" w:hAnsi="Times New Roman" w:cs="Times New Roman"/>
          <w:sz w:val="24"/>
        </w:rPr>
      </w:pPr>
    </w:p>
    <w:p w14:paraId="60DBA623" w14:textId="3E80D736" w:rsidR="00190E15" w:rsidRPr="00A97414" w:rsidRDefault="000770F8" w:rsidP="00A97414">
      <w:pPr>
        <w:pStyle w:val="Porat"/>
        <w:jc w:val="right"/>
        <w:rPr>
          <w:rFonts w:ascii="Times New Roman" w:hAnsi="Times New Roman" w:cs="Times New Roman"/>
          <w:sz w:val="24"/>
        </w:rPr>
      </w:pPr>
      <w:hyperlink r:id="rId8" w:history="1">
        <w:r w:rsidR="00A97414" w:rsidRPr="00516287">
          <w:rPr>
            <w:rStyle w:val="Hipersaitas"/>
            <w:rFonts w:ascii="Times New Roman" w:hAnsi="Times New Roman" w:cs="Times New Roman"/>
            <w:b/>
            <w:sz w:val="24"/>
          </w:rPr>
          <w:t>www.mflor.com</w:t>
        </w:r>
      </w:hyperlink>
      <w:r w:rsidR="00A97414" w:rsidRPr="00A97414">
        <w:rPr>
          <w:rStyle w:val="Hipersaitas"/>
          <w:rFonts w:ascii="Times New Roman" w:hAnsi="Times New Roman" w:cs="Times New Roman"/>
          <w:b/>
          <w:sz w:val="24"/>
          <w:u w:val="none"/>
        </w:rPr>
        <w:tab/>
      </w:r>
      <w:r w:rsidR="00A97414" w:rsidRPr="00A97414">
        <w:rPr>
          <w:rStyle w:val="Hipersaitas"/>
          <w:rFonts w:ascii="Times New Roman" w:hAnsi="Times New Roman" w:cs="Times New Roman"/>
          <w:b/>
          <w:sz w:val="24"/>
          <w:u w:val="none"/>
        </w:rPr>
        <w:tab/>
      </w:r>
      <w:r w:rsidR="00A97414" w:rsidRPr="00A97414">
        <w:rPr>
          <w:rStyle w:val="Hipersaitas"/>
          <w:rFonts w:ascii="Times New Roman" w:hAnsi="Times New Roman" w:cs="Times New Roman"/>
          <w:b/>
          <w:noProof/>
          <w:sz w:val="24"/>
          <w:u w:val="none"/>
          <w:lang w:val="en-GB" w:eastAsia="en-GB"/>
        </w:rPr>
        <w:drawing>
          <wp:inline distT="0" distB="0" distL="0" distR="0" wp14:anchorId="1FB63818" wp14:editId="4F90A144">
            <wp:extent cx="1609725" cy="433070"/>
            <wp:effectExtent l="0" t="0" r="9525" b="508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0E15" w:rsidRPr="00A97414" w:rsidSect="00A97414">
      <w:footerReference w:type="default" r:id="rId10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9064" w14:textId="77777777" w:rsidR="000770F8" w:rsidRDefault="000770F8" w:rsidP="00CB1E06">
      <w:pPr>
        <w:spacing w:after="0" w:line="240" w:lineRule="auto"/>
      </w:pPr>
      <w:r>
        <w:separator/>
      </w:r>
    </w:p>
  </w:endnote>
  <w:endnote w:type="continuationSeparator" w:id="0">
    <w:p w14:paraId="49104311" w14:textId="77777777" w:rsidR="000770F8" w:rsidRDefault="000770F8" w:rsidP="00CB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ntelstinklelis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45E1E" w14:paraId="2E773E62" w14:textId="77777777" w:rsidTr="00A97414">
      <w:tc>
        <w:tcPr>
          <w:tcW w:w="4814" w:type="dxa"/>
        </w:tcPr>
        <w:p w14:paraId="418F8C82" w14:textId="46AA9CBA" w:rsidR="00A97414" w:rsidRDefault="00A97414" w:rsidP="00A97414">
          <w:pPr>
            <w:rPr>
              <w:rFonts w:ascii="Times New Roman" w:eastAsia="MS Mincho" w:hAnsi="Times New Roman" w:cs="Times New Roman"/>
              <w:i/>
            </w:rPr>
          </w:pPr>
          <w:r>
            <w:rPr>
              <w:rFonts w:ascii="Times New Roman" w:eastAsia="MS Mincho" w:hAnsi="Times New Roman" w:cs="Times New Roman"/>
              <w:i/>
            </w:rPr>
            <w:t xml:space="preserve">Vertė Irena Rušinskienė </w:t>
          </w:r>
          <w:r>
            <w:rPr>
              <w:rFonts w:ascii="Times New Roman" w:eastAsia="MS Mincho" w:hAnsi="Times New Roman" w:cs="Times New Roman"/>
              <w:i/>
            </w:rPr>
            <w:tab/>
          </w:r>
          <w:r>
            <w:rPr>
              <w:rFonts w:ascii="Times New Roman" w:eastAsia="MS Mincho" w:hAnsi="Times New Roman" w:cs="Times New Roman"/>
              <w:i/>
            </w:rPr>
            <w:tab/>
          </w:r>
        </w:p>
        <w:p w14:paraId="4A1BB282" w14:textId="7FC19C21" w:rsidR="00A97414" w:rsidRPr="00D15B73" w:rsidRDefault="00A97414" w:rsidP="00A97414">
          <w:pPr>
            <w:rPr>
              <w:rFonts w:ascii="Times New Roman" w:eastAsia="MS Mincho" w:hAnsi="Times New Roman" w:cs="Times New Roman"/>
              <w:i/>
            </w:rPr>
          </w:pPr>
          <w:r w:rsidRPr="00D15B73">
            <w:rPr>
              <w:rFonts w:ascii="Times New Roman" w:eastAsia="MS Mincho" w:hAnsi="Times New Roman" w:cs="Times New Roman"/>
              <w:i/>
            </w:rPr>
            <w:t>LR BK 235 str. turinys žinomas.</w:t>
          </w:r>
        </w:p>
        <w:p w14:paraId="239BF40E" w14:textId="77777777" w:rsidR="00A97414" w:rsidRPr="00757799" w:rsidRDefault="00A97414" w:rsidP="00A97414">
          <w:pPr>
            <w:rPr>
              <w:rFonts w:ascii="Times New Roman" w:hAnsi="Times New Roman" w:cs="Times New Roman"/>
              <w:sz w:val="24"/>
            </w:rPr>
          </w:pPr>
          <w:r w:rsidRPr="00D15B73">
            <w:rPr>
              <w:rFonts w:ascii="Times New Roman" w:eastAsia="MS Mincho" w:hAnsi="Times New Roman" w:cs="Times New Roman"/>
              <w:i/>
            </w:rPr>
            <w:t>Projektų vadovė Kristina Zujevič</w:t>
          </w:r>
        </w:p>
        <w:p w14:paraId="4C048068" w14:textId="77777777" w:rsidR="00A97414" w:rsidRDefault="00A97414" w:rsidP="00433E20">
          <w:pPr>
            <w:pStyle w:val="Porat"/>
            <w:jc w:val="both"/>
          </w:pPr>
        </w:p>
      </w:tc>
      <w:tc>
        <w:tcPr>
          <w:tcW w:w="4814" w:type="dxa"/>
        </w:tcPr>
        <w:p w14:paraId="63BEEC2C" w14:textId="1A4B6DE1" w:rsidR="00845E1E" w:rsidRDefault="00A97414" w:rsidP="00845E1E">
          <w:pPr>
            <w:pStyle w:val="Porat"/>
            <w:jc w:val="right"/>
          </w:pPr>
          <w:r w:rsidRPr="00D15B73">
            <w:rPr>
              <w:rFonts w:ascii="Calibri" w:eastAsia="Calibri" w:hAnsi="Calibri" w:cs="Times New Roman"/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30EE7F53" wp14:editId="42E0CCE6">
                <wp:simplePos x="0" y="0"/>
                <wp:positionH relativeFrom="column">
                  <wp:posOffset>2109470</wp:posOffset>
                </wp:positionH>
                <wp:positionV relativeFrom="paragraph">
                  <wp:posOffset>44450</wp:posOffset>
                </wp:positionV>
                <wp:extent cx="732155" cy="602859"/>
                <wp:effectExtent l="0" t="0" r="0" b="6985"/>
                <wp:wrapNone/>
                <wp:docPr id="11" name="Paveikslėli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602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A10CBF" w14:textId="77777777" w:rsidR="00433E20" w:rsidRPr="00433E20" w:rsidRDefault="00433E20" w:rsidP="00433E20">
    <w:pPr>
      <w:pStyle w:val="Por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FD29" w14:textId="77777777" w:rsidR="000770F8" w:rsidRDefault="000770F8" w:rsidP="00CB1E06">
      <w:pPr>
        <w:spacing w:after="0" w:line="240" w:lineRule="auto"/>
      </w:pPr>
      <w:r>
        <w:separator/>
      </w:r>
    </w:p>
  </w:footnote>
  <w:footnote w:type="continuationSeparator" w:id="0">
    <w:p w14:paraId="346FC8C9" w14:textId="77777777" w:rsidR="000770F8" w:rsidRDefault="000770F8" w:rsidP="00CB1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F62"/>
    <w:multiLevelType w:val="hybridMultilevel"/>
    <w:tmpl w:val="A0464B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379"/>
    <w:multiLevelType w:val="hybridMultilevel"/>
    <w:tmpl w:val="5E36A058"/>
    <w:lvl w:ilvl="0" w:tplc="4686F4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69D9"/>
    <w:multiLevelType w:val="hybridMultilevel"/>
    <w:tmpl w:val="A5DC638C"/>
    <w:lvl w:ilvl="0" w:tplc="88021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068A4"/>
    <w:multiLevelType w:val="hybridMultilevel"/>
    <w:tmpl w:val="C7AA3E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10"/>
    <w:rsid w:val="00035DDA"/>
    <w:rsid w:val="00043EE5"/>
    <w:rsid w:val="000641F3"/>
    <w:rsid w:val="000770F8"/>
    <w:rsid w:val="000B5EDD"/>
    <w:rsid w:val="000C7D01"/>
    <w:rsid w:val="0015321A"/>
    <w:rsid w:val="00173465"/>
    <w:rsid w:val="0017560D"/>
    <w:rsid w:val="001815F1"/>
    <w:rsid w:val="00187861"/>
    <w:rsid w:val="00190E15"/>
    <w:rsid w:val="00197410"/>
    <w:rsid w:val="001A7910"/>
    <w:rsid w:val="001C188D"/>
    <w:rsid w:val="001F458D"/>
    <w:rsid w:val="00201923"/>
    <w:rsid w:val="00276D83"/>
    <w:rsid w:val="002C0282"/>
    <w:rsid w:val="0030043A"/>
    <w:rsid w:val="00433E20"/>
    <w:rsid w:val="0043449B"/>
    <w:rsid w:val="00435C3E"/>
    <w:rsid w:val="0045475F"/>
    <w:rsid w:val="004C3E30"/>
    <w:rsid w:val="004D4DD0"/>
    <w:rsid w:val="00525A6D"/>
    <w:rsid w:val="00602A25"/>
    <w:rsid w:val="006336B1"/>
    <w:rsid w:val="00671112"/>
    <w:rsid w:val="006750B5"/>
    <w:rsid w:val="006B6ACA"/>
    <w:rsid w:val="006C6561"/>
    <w:rsid w:val="006E0DAB"/>
    <w:rsid w:val="006F2683"/>
    <w:rsid w:val="00710600"/>
    <w:rsid w:val="007304B7"/>
    <w:rsid w:val="00754F9A"/>
    <w:rsid w:val="00781FC1"/>
    <w:rsid w:val="007B6E5F"/>
    <w:rsid w:val="007C7F54"/>
    <w:rsid w:val="007E6B89"/>
    <w:rsid w:val="00803D5D"/>
    <w:rsid w:val="00845E1E"/>
    <w:rsid w:val="0085057B"/>
    <w:rsid w:val="00851ECC"/>
    <w:rsid w:val="008A25D8"/>
    <w:rsid w:val="008D1B06"/>
    <w:rsid w:val="008E3DA3"/>
    <w:rsid w:val="00900E90"/>
    <w:rsid w:val="00980022"/>
    <w:rsid w:val="009826B7"/>
    <w:rsid w:val="00990071"/>
    <w:rsid w:val="00993E47"/>
    <w:rsid w:val="009A1FBF"/>
    <w:rsid w:val="009C4938"/>
    <w:rsid w:val="009E7398"/>
    <w:rsid w:val="009F1DB2"/>
    <w:rsid w:val="00A24F62"/>
    <w:rsid w:val="00A97414"/>
    <w:rsid w:val="00AB4D5E"/>
    <w:rsid w:val="00AD39D9"/>
    <w:rsid w:val="00AE3418"/>
    <w:rsid w:val="00B0341C"/>
    <w:rsid w:val="00B04890"/>
    <w:rsid w:val="00B52F42"/>
    <w:rsid w:val="00B74451"/>
    <w:rsid w:val="00BD2746"/>
    <w:rsid w:val="00C0632A"/>
    <w:rsid w:val="00C30B5E"/>
    <w:rsid w:val="00C40420"/>
    <w:rsid w:val="00C530F9"/>
    <w:rsid w:val="00C6559D"/>
    <w:rsid w:val="00C77611"/>
    <w:rsid w:val="00CA4A0B"/>
    <w:rsid w:val="00CB1E06"/>
    <w:rsid w:val="00CB260F"/>
    <w:rsid w:val="00CF687E"/>
    <w:rsid w:val="00D54F81"/>
    <w:rsid w:val="00D657B9"/>
    <w:rsid w:val="00D97260"/>
    <w:rsid w:val="00DF14E1"/>
    <w:rsid w:val="00E204DA"/>
    <w:rsid w:val="00E51BDC"/>
    <w:rsid w:val="00E95704"/>
    <w:rsid w:val="00EB59A3"/>
    <w:rsid w:val="00EC1472"/>
    <w:rsid w:val="00EF34B0"/>
    <w:rsid w:val="00F5692F"/>
    <w:rsid w:val="00F725C8"/>
    <w:rsid w:val="00F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54B8"/>
  <w15:chartTrackingRefBased/>
  <w15:docId w15:val="{F86FE0E2-D9C5-429D-B8BC-4B415A31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9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B1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1E06"/>
  </w:style>
  <w:style w:type="paragraph" w:styleId="Porat">
    <w:name w:val="footer"/>
    <w:basedOn w:val="prastasis"/>
    <w:link w:val="PoratDiagrama"/>
    <w:uiPriority w:val="99"/>
    <w:unhideWhenUsed/>
    <w:rsid w:val="00CB1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1E06"/>
  </w:style>
  <w:style w:type="paragraph" w:styleId="Sraopastraipa">
    <w:name w:val="List Paragraph"/>
    <w:basedOn w:val="prastasis"/>
    <w:uiPriority w:val="34"/>
    <w:qFormat/>
    <w:rsid w:val="006750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0341C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0600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106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1060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1060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106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10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l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5617-11DE-4037-8CA0-7697A13D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2626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Vartotojas</cp:lastModifiedBy>
  <cp:revision>2</cp:revision>
  <cp:lastPrinted>2020-11-03T12:31:00Z</cp:lastPrinted>
  <dcterms:created xsi:type="dcterms:W3CDTF">2021-04-15T09:25:00Z</dcterms:created>
  <dcterms:modified xsi:type="dcterms:W3CDTF">2021-04-15T09:25:00Z</dcterms:modified>
</cp:coreProperties>
</file>